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6A84" w:rsidRPr="00456C4E" w:rsidRDefault="001F6A84" w:rsidP="00E75F57">
      <w:pPr>
        <w:spacing w:line="360" w:lineRule="auto"/>
        <w:rPr>
          <w:rFonts w:asciiTheme="minorBidi" w:hAnsiTheme="minorBidi" w:cstheme="minorBidi"/>
          <w:b/>
          <w:bCs/>
          <w:sz w:val="20"/>
          <w:szCs w:val="22"/>
          <w:u w:val="single"/>
          <w:rtl/>
        </w:rPr>
      </w:pPr>
    </w:p>
    <w:p w:rsidR="00456C4E" w:rsidRPr="00456C4E" w:rsidRDefault="00456C4E" w:rsidP="00456C4E">
      <w:pPr>
        <w:rPr>
          <w:rFonts w:asciiTheme="minorBidi" w:hAnsiTheme="minorBidi" w:cstheme="minorBidi"/>
          <w:b/>
          <w:bCs/>
          <w:sz w:val="20"/>
          <w:szCs w:val="22"/>
          <w:rtl/>
        </w:rPr>
      </w:pPr>
    </w:p>
    <w:p w:rsidR="00D570C7" w:rsidRPr="00D570C7" w:rsidRDefault="00D570C7" w:rsidP="00D570C7">
      <w:pPr>
        <w:pStyle w:val="PlainText"/>
        <w:jc w:val="center"/>
        <w:rPr>
          <w:b/>
          <w:bCs/>
          <w:u w:val="single"/>
        </w:rPr>
      </w:pPr>
      <w:r w:rsidRPr="00D570C7">
        <w:rPr>
          <w:b/>
          <w:bCs/>
          <w:u w:val="single"/>
          <w:rtl/>
        </w:rPr>
        <w:t>הנידון : פרסום אודות כוונה להרחבת הפטור עם עמותת סנונית</w:t>
      </w:r>
    </w:p>
    <w:p w:rsidR="00D570C7" w:rsidRDefault="00D570C7" w:rsidP="00D570C7">
      <w:pPr>
        <w:pStyle w:val="PlainText"/>
        <w:rPr>
          <w:rtl/>
        </w:rPr>
      </w:pPr>
    </w:p>
    <w:p w:rsidR="00D570C7" w:rsidRDefault="00D570C7" w:rsidP="00D570C7">
      <w:pPr>
        <w:pStyle w:val="PlainText"/>
        <w:rPr>
          <w:rtl/>
        </w:rPr>
      </w:pPr>
      <w:r>
        <w:rPr>
          <w:rtl/>
        </w:rPr>
        <w:t>1.</w:t>
      </w:r>
      <w:r>
        <w:rPr>
          <w:rtl/>
        </w:rPr>
        <w:t xml:space="preserve"> ביום  1.5.2010  קבעה  וועדת  הפטור כי ההתקשרות בין משרד האוצר לבין</w:t>
      </w:r>
    </w:p>
    <w:p w:rsidR="00D570C7" w:rsidRDefault="00D570C7" w:rsidP="00D570C7">
      <w:pPr>
        <w:pStyle w:val="PlainText"/>
        <w:rPr>
          <w:rtl/>
        </w:rPr>
      </w:pPr>
      <w:r>
        <w:rPr>
          <w:rtl/>
        </w:rPr>
        <w:t xml:space="preserve">עמותת סנונית פטורה מחובת מכרז לפי תקנה 3(30) לתקנות חובת המכרזים, זאת לצורך פיתוח ותחזוקת מיזם "על הגובה! </w:t>
      </w:r>
      <w:proofErr w:type="spellStart"/>
      <w:proofErr w:type="gramStart"/>
      <w:r>
        <w:t>Gov</w:t>
      </w:r>
      <w:proofErr w:type="spellEnd"/>
      <w:r>
        <w:rPr>
          <w:rtl/>
        </w:rPr>
        <w:t>".</w:t>
      </w:r>
      <w:proofErr w:type="gramEnd"/>
    </w:p>
    <w:p w:rsidR="00D570C7" w:rsidRDefault="00D570C7" w:rsidP="00D570C7">
      <w:pPr>
        <w:pStyle w:val="PlainText"/>
        <w:rPr>
          <w:rtl/>
        </w:rPr>
      </w:pPr>
      <w:r>
        <w:rPr>
          <w:rtl/>
        </w:rPr>
        <w:t>הסביבה  מייצגת  בצורה סימבולית את מדינת ישראל, נועדה לקדם את מדיניות הממשלה ולתת  ביטוי לפעולות ולמטרות המקצועיות של משרדי הממשלה השונים, תאגידים על פי חוק  וגופים  מתוקצבים  ביחס  באופן  דינאמי ועדכני, ומיועדת לגלאי 8-14 בשעות הפנאי.</w:t>
      </w:r>
    </w:p>
    <w:p w:rsidR="00D570C7" w:rsidRDefault="00D570C7" w:rsidP="00D570C7">
      <w:pPr>
        <w:pStyle w:val="PlainText"/>
        <w:rPr>
          <w:rtl/>
        </w:rPr>
      </w:pPr>
    </w:p>
    <w:p w:rsidR="00D570C7" w:rsidRDefault="00D570C7" w:rsidP="00D570C7">
      <w:pPr>
        <w:pStyle w:val="PlainText"/>
        <w:rPr>
          <w:rtl/>
        </w:rPr>
      </w:pPr>
      <w:r>
        <w:rPr>
          <w:rtl/>
        </w:rPr>
        <w:t>2.</w:t>
      </w:r>
      <w:r>
        <w:rPr>
          <w:rtl/>
        </w:rPr>
        <w:t>ההתקשרות התבססה על פרויקטים, שותפים ומימון שהפטור מאשר אותם. בנוסף,</w:t>
      </w:r>
    </w:p>
    <w:p w:rsidR="00D570C7" w:rsidRDefault="00D570C7" w:rsidP="00D570C7">
      <w:pPr>
        <w:pStyle w:val="PlainText"/>
        <w:rPr>
          <w:rtl/>
        </w:rPr>
      </w:pPr>
      <w:r>
        <w:rPr>
          <w:rtl/>
        </w:rPr>
        <w:t>הוגדר שלב ב' שאמור לכלול הרחבת והעמקת הסביבה וכן תחזוקה ושדרוגים.</w:t>
      </w:r>
    </w:p>
    <w:p w:rsidR="00D570C7" w:rsidRDefault="00D570C7" w:rsidP="00D570C7">
      <w:pPr>
        <w:pStyle w:val="PlainText"/>
        <w:rPr>
          <w:rtl/>
        </w:rPr>
      </w:pPr>
    </w:p>
    <w:p w:rsidR="00D570C7" w:rsidRDefault="00D570C7" w:rsidP="00D570C7">
      <w:pPr>
        <w:pStyle w:val="PlainText"/>
        <w:rPr>
          <w:rtl/>
        </w:rPr>
      </w:pPr>
      <w:r>
        <w:rPr>
          <w:rtl/>
        </w:rPr>
        <w:t>3.</w:t>
      </w:r>
      <w:r>
        <w:rPr>
          <w:rtl/>
        </w:rPr>
        <w:t>כיוון שממשל זמין מעוניין להרחיב, להעמיק ולשדרג את הסביבה, כיוון שיש</w:t>
      </w:r>
    </w:p>
    <w:p w:rsidR="00D570C7" w:rsidRDefault="00D570C7" w:rsidP="00D570C7">
      <w:pPr>
        <w:pStyle w:val="PlainText"/>
        <w:rPr>
          <w:rtl/>
        </w:rPr>
      </w:pPr>
      <w:r>
        <w:rPr>
          <w:rtl/>
        </w:rPr>
        <w:t>משרדים  ומוסדות  שאינם  מוגדרים  בהתקשרות הראשונה ומעוניינים להצטרף, וכיוון שעמותת  סנונית  הביעה  את מוכנותה ויכולתה להשתתף במיזם נוסף שיהווה הרחבה של המיזם הנוכחי, אנו פונים לוועדה לצורך הסדרת התקשרות המשך לפי תקנה 3(4)(ב)(3) לתקנות חובת המכרזים.</w:t>
      </w:r>
    </w:p>
    <w:p w:rsidR="00D570C7" w:rsidRDefault="00D570C7" w:rsidP="00D570C7">
      <w:pPr>
        <w:pStyle w:val="PlainText"/>
        <w:rPr>
          <w:rtl/>
        </w:rPr>
      </w:pPr>
    </w:p>
    <w:p w:rsidR="00D570C7" w:rsidRDefault="00D570C7" w:rsidP="00D570C7">
      <w:pPr>
        <w:pStyle w:val="PlainText"/>
        <w:rPr>
          <w:rtl/>
        </w:rPr>
      </w:pPr>
      <w:r>
        <w:rPr>
          <w:rtl/>
        </w:rPr>
        <w:t>4.</w:t>
      </w:r>
      <w:r>
        <w:rPr>
          <w:rtl/>
        </w:rPr>
        <w:t>הפניה להרחבת הפטור נערכת פחות משנה ממתן אישור הפטור הראשון.</w:t>
      </w:r>
    </w:p>
    <w:p w:rsidR="00D570C7" w:rsidRDefault="00D570C7" w:rsidP="00D570C7">
      <w:pPr>
        <w:pStyle w:val="PlainText"/>
        <w:rPr>
          <w:rtl/>
        </w:rPr>
      </w:pPr>
    </w:p>
    <w:p w:rsidR="00D570C7" w:rsidRPr="00D570C7" w:rsidRDefault="00D570C7" w:rsidP="00D570C7">
      <w:pPr>
        <w:pStyle w:val="PlainText"/>
        <w:rPr>
          <w:b/>
          <w:bCs/>
          <w:u w:val="single"/>
          <w:rtl/>
        </w:rPr>
      </w:pPr>
      <w:r w:rsidRPr="00D570C7">
        <w:rPr>
          <w:b/>
          <w:bCs/>
          <w:u w:val="single"/>
          <w:rtl/>
        </w:rPr>
        <w:t>תקופת ההתקשרות</w:t>
      </w:r>
      <w:r w:rsidRPr="00D570C7">
        <w:rPr>
          <w:rFonts w:hint="cs"/>
          <w:b/>
          <w:bCs/>
          <w:u w:val="single"/>
          <w:rtl/>
        </w:rPr>
        <w:t>:</w:t>
      </w:r>
    </w:p>
    <w:p w:rsidR="00D570C7" w:rsidRDefault="00D570C7" w:rsidP="00D570C7">
      <w:pPr>
        <w:pStyle w:val="PlainText"/>
        <w:rPr>
          <w:rtl/>
        </w:rPr>
      </w:pPr>
      <w:r>
        <w:rPr>
          <w:rtl/>
        </w:rPr>
        <w:t>זהה לתקופת ההתקשרות במיזם הנוכחי: 24 חודשים מיום הרחבת ההתקשרות.</w:t>
      </w:r>
    </w:p>
    <w:p w:rsidR="00D570C7" w:rsidRDefault="00D570C7" w:rsidP="00D570C7">
      <w:pPr>
        <w:pStyle w:val="PlainText"/>
        <w:rPr>
          <w:rtl/>
        </w:rPr>
      </w:pPr>
    </w:p>
    <w:p w:rsidR="00D570C7" w:rsidRPr="00D570C7" w:rsidRDefault="00D570C7" w:rsidP="00D570C7">
      <w:pPr>
        <w:pStyle w:val="PlainText"/>
        <w:rPr>
          <w:rFonts w:hint="cs"/>
          <w:b/>
          <w:bCs/>
          <w:u w:val="single"/>
          <w:rtl/>
        </w:rPr>
      </w:pPr>
      <w:r w:rsidRPr="00D570C7">
        <w:rPr>
          <w:b/>
          <w:bCs/>
          <w:u w:val="single"/>
          <w:rtl/>
        </w:rPr>
        <w:t>החלק הכספי</w:t>
      </w:r>
      <w:r w:rsidRPr="00D570C7">
        <w:rPr>
          <w:rFonts w:hint="cs"/>
          <w:b/>
          <w:bCs/>
          <w:u w:val="single"/>
          <w:rtl/>
        </w:rPr>
        <w:t>:</w:t>
      </w:r>
    </w:p>
    <w:p w:rsidR="00D570C7" w:rsidRDefault="00D570C7" w:rsidP="00D570C7">
      <w:pPr>
        <w:pStyle w:val="PlainText"/>
        <w:rPr>
          <w:rtl/>
        </w:rPr>
      </w:pPr>
    </w:p>
    <w:p w:rsidR="00D570C7" w:rsidRDefault="00D570C7" w:rsidP="00D570C7">
      <w:pPr>
        <w:pStyle w:val="PlainText"/>
        <w:rPr>
          <w:rtl/>
        </w:rPr>
      </w:pPr>
      <w:r>
        <w:rPr>
          <w:rtl/>
        </w:rPr>
        <w:t>זהה להיקף ההתקשרות המקורית ועד 9,500,000 ₪ כאשר חלקה של סנונית יהיה לפחות 50% מעלות המיזם. חלקה של הממשלה לא יעלה על סך 50% מעלות המיזם.</w:t>
      </w:r>
    </w:p>
    <w:p w:rsidR="00D570C7" w:rsidRDefault="00D570C7" w:rsidP="00D570C7">
      <w:pPr>
        <w:pStyle w:val="PlainText"/>
        <w:rPr>
          <w:rtl/>
        </w:rPr>
      </w:pPr>
    </w:p>
    <w:p w:rsidR="00456C4E" w:rsidRPr="00456C4E" w:rsidRDefault="00456C4E" w:rsidP="00456C4E">
      <w:pPr>
        <w:rPr>
          <w:rFonts w:asciiTheme="minorBidi" w:hAnsiTheme="minorBidi" w:cstheme="minorBidi"/>
          <w:rtl/>
        </w:rPr>
      </w:pPr>
      <w:bookmarkStart w:id="0" w:name="_GoBack"/>
      <w:bookmarkEnd w:id="0"/>
    </w:p>
    <w:p w:rsidR="001F6A84" w:rsidRDefault="001F6A84" w:rsidP="001E7E5E">
      <w:pPr>
        <w:spacing w:line="360" w:lineRule="auto"/>
        <w:rPr>
          <w:rFonts w:asciiTheme="minorBidi" w:hAnsiTheme="minorBidi" w:cstheme="minorBidi"/>
          <w:sz w:val="20"/>
          <w:szCs w:val="22"/>
          <w:rtl/>
        </w:rPr>
      </w:pPr>
    </w:p>
    <w:p w:rsidR="00456C4E" w:rsidRDefault="00456C4E" w:rsidP="001E7E5E">
      <w:pPr>
        <w:spacing w:line="360" w:lineRule="auto"/>
        <w:rPr>
          <w:rFonts w:asciiTheme="minorBidi" w:hAnsiTheme="minorBidi" w:cstheme="minorBidi"/>
          <w:sz w:val="20"/>
          <w:szCs w:val="22"/>
          <w:rtl/>
        </w:rPr>
      </w:pPr>
      <w:r>
        <w:rPr>
          <w:rFonts w:asciiTheme="minorBidi" w:hAnsiTheme="minorBidi" w:cstheme="minorBidi" w:hint="cs"/>
          <w:sz w:val="20"/>
          <w:szCs w:val="22"/>
          <w:rtl/>
        </w:rPr>
        <w:tab/>
      </w:r>
      <w:r>
        <w:rPr>
          <w:rFonts w:asciiTheme="minorBidi" w:hAnsiTheme="minorBidi" w:cstheme="minorBidi" w:hint="cs"/>
          <w:sz w:val="20"/>
          <w:szCs w:val="22"/>
          <w:rtl/>
        </w:rPr>
        <w:tab/>
      </w:r>
      <w:r>
        <w:rPr>
          <w:rFonts w:asciiTheme="minorBidi" w:hAnsiTheme="minorBidi" w:cstheme="minorBidi" w:hint="cs"/>
          <w:sz w:val="20"/>
          <w:szCs w:val="22"/>
          <w:rtl/>
        </w:rPr>
        <w:tab/>
      </w:r>
      <w:r>
        <w:rPr>
          <w:rFonts w:asciiTheme="minorBidi" w:hAnsiTheme="minorBidi" w:cstheme="minorBidi" w:hint="cs"/>
          <w:sz w:val="20"/>
          <w:szCs w:val="22"/>
          <w:rtl/>
        </w:rPr>
        <w:tab/>
      </w:r>
      <w:r>
        <w:rPr>
          <w:rFonts w:asciiTheme="minorBidi" w:hAnsiTheme="minorBidi" w:cstheme="minorBidi" w:hint="cs"/>
          <w:sz w:val="20"/>
          <w:szCs w:val="22"/>
          <w:rtl/>
        </w:rPr>
        <w:tab/>
      </w:r>
      <w:r>
        <w:rPr>
          <w:rFonts w:asciiTheme="minorBidi" w:hAnsiTheme="minorBidi" w:cstheme="minorBidi" w:hint="cs"/>
          <w:sz w:val="20"/>
          <w:szCs w:val="22"/>
          <w:rtl/>
        </w:rPr>
        <w:tab/>
      </w:r>
      <w:r>
        <w:rPr>
          <w:rFonts w:asciiTheme="minorBidi" w:hAnsiTheme="minorBidi" w:cstheme="minorBidi" w:hint="cs"/>
          <w:sz w:val="20"/>
          <w:szCs w:val="22"/>
          <w:rtl/>
        </w:rPr>
        <w:tab/>
        <w:t>מיכל לוי</w:t>
      </w:r>
    </w:p>
    <w:p w:rsidR="00456C4E" w:rsidRDefault="00456C4E" w:rsidP="001E7E5E">
      <w:pPr>
        <w:spacing w:line="360" w:lineRule="auto"/>
        <w:rPr>
          <w:rFonts w:asciiTheme="minorBidi" w:hAnsiTheme="minorBidi" w:cstheme="minorBidi"/>
          <w:sz w:val="20"/>
          <w:szCs w:val="22"/>
          <w:rtl/>
        </w:rPr>
      </w:pPr>
      <w:r>
        <w:rPr>
          <w:rFonts w:asciiTheme="minorBidi" w:hAnsiTheme="minorBidi" w:cstheme="minorBidi" w:hint="cs"/>
          <w:sz w:val="20"/>
          <w:szCs w:val="22"/>
          <w:rtl/>
        </w:rPr>
        <w:tab/>
      </w:r>
      <w:r>
        <w:rPr>
          <w:rFonts w:asciiTheme="minorBidi" w:hAnsiTheme="minorBidi" w:cstheme="minorBidi" w:hint="cs"/>
          <w:sz w:val="20"/>
          <w:szCs w:val="22"/>
          <w:rtl/>
        </w:rPr>
        <w:tab/>
      </w:r>
      <w:r>
        <w:rPr>
          <w:rFonts w:asciiTheme="minorBidi" w:hAnsiTheme="minorBidi" w:cstheme="minorBidi" w:hint="cs"/>
          <w:sz w:val="20"/>
          <w:szCs w:val="22"/>
          <w:rtl/>
        </w:rPr>
        <w:tab/>
      </w:r>
      <w:r>
        <w:rPr>
          <w:rFonts w:asciiTheme="minorBidi" w:hAnsiTheme="minorBidi" w:cstheme="minorBidi" w:hint="cs"/>
          <w:sz w:val="20"/>
          <w:szCs w:val="22"/>
          <w:rtl/>
        </w:rPr>
        <w:tab/>
      </w:r>
      <w:r>
        <w:rPr>
          <w:rFonts w:asciiTheme="minorBidi" w:hAnsiTheme="minorBidi" w:cstheme="minorBidi" w:hint="cs"/>
          <w:sz w:val="20"/>
          <w:szCs w:val="22"/>
          <w:rtl/>
        </w:rPr>
        <w:tab/>
      </w:r>
      <w:r>
        <w:rPr>
          <w:rFonts w:asciiTheme="minorBidi" w:hAnsiTheme="minorBidi" w:cstheme="minorBidi" w:hint="cs"/>
          <w:sz w:val="20"/>
          <w:szCs w:val="22"/>
          <w:rtl/>
        </w:rPr>
        <w:tab/>
      </w:r>
      <w:r>
        <w:rPr>
          <w:rFonts w:asciiTheme="minorBidi" w:hAnsiTheme="minorBidi" w:cstheme="minorBidi" w:hint="cs"/>
          <w:sz w:val="20"/>
          <w:szCs w:val="22"/>
          <w:rtl/>
        </w:rPr>
        <w:tab/>
        <w:t>מנהלת מערך השירותים</w:t>
      </w:r>
    </w:p>
    <w:p w:rsidR="00456C4E" w:rsidRPr="00456C4E" w:rsidRDefault="00456C4E" w:rsidP="001E7E5E">
      <w:pPr>
        <w:spacing w:line="360" w:lineRule="auto"/>
        <w:rPr>
          <w:rFonts w:asciiTheme="minorBidi" w:hAnsiTheme="minorBidi" w:cstheme="minorBidi"/>
          <w:sz w:val="20"/>
          <w:szCs w:val="22"/>
          <w:rtl/>
        </w:rPr>
      </w:pPr>
      <w:r>
        <w:rPr>
          <w:rFonts w:asciiTheme="minorBidi" w:hAnsiTheme="minorBidi" w:cstheme="minorBidi" w:hint="cs"/>
          <w:sz w:val="20"/>
          <w:szCs w:val="22"/>
          <w:rtl/>
        </w:rPr>
        <w:tab/>
      </w:r>
      <w:r>
        <w:rPr>
          <w:rFonts w:asciiTheme="minorBidi" w:hAnsiTheme="minorBidi" w:cstheme="minorBidi" w:hint="cs"/>
          <w:sz w:val="20"/>
          <w:szCs w:val="22"/>
          <w:rtl/>
        </w:rPr>
        <w:tab/>
      </w:r>
      <w:r>
        <w:rPr>
          <w:rFonts w:asciiTheme="minorBidi" w:hAnsiTheme="minorBidi" w:cstheme="minorBidi" w:hint="cs"/>
          <w:sz w:val="20"/>
          <w:szCs w:val="22"/>
          <w:rtl/>
        </w:rPr>
        <w:tab/>
      </w:r>
      <w:r>
        <w:rPr>
          <w:rFonts w:asciiTheme="minorBidi" w:hAnsiTheme="minorBidi" w:cstheme="minorBidi" w:hint="cs"/>
          <w:sz w:val="20"/>
          <w:szCs w:val="22"/>
          <w:rtl/>
        </w:rPr>
        <w:tab/>
      </w:r>
      <w:r>
        <w:rPr>
          <w:rFonts w:asciiTheme="minorBidi" w:hAnsiTheme="minorBidi" w:cstheme="minorBidi" w:hint="cs"/>
          <w:sz w:val="20"/>
          <w:szCs w:val="22"/>
          <w:rtl/>
        </w:rPr>
        <w:tab/>
      </w:r>
      <w:r>
        <w:rPr>
          <w:rFonts w:asciiTheme="minorBidi" w:hAnsiTheme="minorBidi" w:cstheme="minorBidi" w:hint="cs"/>
          <w:sz w:val="20"/>
          <w:szCs w:val="22"/>
          <w:rtl/>
        </w:rPr>
        <w:tab/>
      </w:r>
      <w:r>
        <w:rPr>
          <w:rFonts w:asciiTheme="minorBidi" w:hAnsiTheme="minorBidi" w:cstheme="minorBidi" w:hint="cs"/>
          <w:sz w:val="20"/>
          <w:szCs w:val="22"/>
          <w:rtl/>
        </w:rPr>
        <w:tab/>
        <w:t>ממשל זמין</w:t>
      </w:r>
    </w:p>
    <w:p w:rsidR="001F6A84" w:rsidRPr="00456C4E" w:rsidRDefault="001F6A84" w:rsidP="001E7E5E">
      <w:pPr>
        <w:spacing w:line="360" w:lineRule="auto"/>
        <w:rPr>
          <w:rFonts w:asciiTheme="minorBidi" w:hAnsiTheme="minorBidi" w:cstheme="minorBidi"/>
          <w:sz w:val="20"/>
          <w:szCs w:val="22"/>
          <w:rtl/>
        </w:rPr>
      </w:pPr>
      <w:r w:rsidRPr="00456C4E">
        <w:rPr>
          <w:rFonts w:asciiTheme="minorBidi" w:hAnsiTheme="minorBidi" w:cstheme="minorBidi"/>
          <w:sz w:val="20"/>
          <w:szCs w:val="22"/>
          <w:rtl/>
        </w:rPr>
        <w:t xml:space="preserve"> </w:t>
      </w:r>
    </w:p>
    <w:sectPr w:rsidR="001F6A84" w:rsidRPr="00456C4E" w:rsidSect="00C86023">
      <w:headerReference w:type="default" r:id="rId8"/>
      <w:footerReference w:type="default" r:id="rId9"/>
      <w:headerReference w:type="first" r:id="rId10"/>
      <w:footerReference w:type="first" r:id="rId11"/>
      <w:pgSz w:w="11906" w:h="16838"/>
      <w:pgMar w:top="870" w:right="1800" w:bottom="1440" w:left="1800" w:header="284" w:footer="29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51C3" w:rsidRDefault="00E051C3">
      <w:r>
        <w:separator/>
      </w:r>
    </w:p>
  </w:endnote>
  <w:endnote w:type="continuationSeparator" w:id="0">
    <w:p w:rsidR="00E051C3" w:rsidRDefault="00E051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A84" w:rsidRDefault="001F6A84">
    <w:pPr>
      <w:pStyle w:val="Footer"/>
      <w:jc w:val="right"/>
      <w:rPr>
        <w:rtl/>
      </w:rPr>
    </w:pPr>
  </w:p>
  <w:p w:rsidR="001F6A84" w:rsidRPr="00EA7139" w:rsidRDefault="001F6A84" w:rsidP="00EA7139">
    <w:pPr>
      <w:pStyle w:val="Footer"/>
      <w:pBdr>
        <w:top w:val="single" w:sz="6" w:space="0" w:color="auto"/>
      </w:pBdr>
      <w:jc w:val="center"/>
      <w:rPr>
        <w:rtl/>
      </w:rPr>
    </w:pPr>
    <w:r>
      <w:rPr>
        <w:b/>
        <w:bCs/>
        <w:rtl/>
      </w:rPr>
      <w:t xml:space="preserve">רח' נתנאל לורך 1 ירושלים ת.ד. 13185 טלפון </w:t>
    </w:r>
    <w:r>
      <w:rPr>
        <w:b/>
        <w:bCs/>
      </w:rPr>
      <w:t>02-6664666</w:t>
    </w:r>
    <w:r>
      <w:rPr>
        <w:b/>
        <w:bCs/>
        <w:rtl/>
      </w:rPr>
      <w:t xml:space="preserve"> פקס: </w:t>
    </w:r>
    <w:r>
      <w:rPr>
        <w:b/>
        <w:bCs/>
      </w:rPr>
      <w:t>02-6664650</w:t>
    </w:r>
    <w:r>
      <w:rPr>
        <w:b/>
        <w:bCs/>
        <w:rtl/>
      </w:rPr>
      <w:br/>
    </w:r>
    <w:hyperlink r:id="rId1" w:history="1">
      <w:r w:rsidRPr="00B710EA">
        <w:rPr>
          <w:rStyle w:val="Hyperlink"/>
          <w:rFonts w:cs="FrankRuehl"/>
          <w:b/>
          <w:bCs/>
        </w:rPr>
        <w:t>www.gov.il</w:t>
      </w:r>
    </w:hyperlink>
  </w:p>
  <w:p w:rsidR="001F6A84" w:rsidRDefault="00E051C3" w:rsidP="00EA7139">
    <w:pPr>
      <w:pStyle w:val="Footer"/>
      <w:jc w:val="right"/>
    </w:pPr>
    <w:r>
      <w:fldChar w:fldCharType="begin"/>
    </w:r>
    <w:r>
      <w:instrText xml:space="preserve"> PAGE   \* MERGEFORMAT </w:instrText>
    </w:r>
    <w:r>
      <w:fldChar w:fldCharType="separate"/>
    </w:r>
    <w:r w:rsidR="00D570C7">
      <w:rPr>
        <w:noProof/>
        <w:rtl/>
      </w:rPr>
      <w:t>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A84" w:rsidRDefault="001F6A84" w:rsidP="00C86023">
    <w:pPr>
      <w:pStyle w:val="Footer"/>
      <w:jc w:val="right"/>
      <w:rPr>
        <w:rtl/>
      </w:rPr>
    </w:pPr>
  </w:p>
  <w:p w:rsidR="001F6A84" w:rsidRPr="00EA7139" w:rsidRDefault="001F6A84" w:rsidP="00C86023">
    <w:pPr>
      <w:pStyle w:val="Footer"/>
      <w:pBdr>
        <w:top w:val="single" w:sz="6" w:space="0" w:color="auto"/>
      </w:pBdr>
      <w:jc w:val="center"/>
      <w:rPr>
        <w:rtl/>
      </w:rPr>
    </w:pPr>
    <w:r>
      <w:rPr>
        <w:b/>
        <w:bCs/>
        <w:rtl/>
      </w:rPr>
      <w:t xml:space="preserve">רח' נתנאל לורך 1 ירושלים ת.ד. 13185 טלפון </w:t>
    </w:r>
    <w:r>
      <w:rPr>
        <w:b/>
        <w:bCs/>
      </w:rPr>
      <w:t>02-6664666</w:t>
    </w:r>
    <w:r>
      <w:rPr>
        <w:b/>
        <w:bCs/>
        <w:rtl/>
      </w:rPr>
      <w:t xml:space="preserve"> פקס: </w:t>
    </w:r>
    <w:r>
      <w:rPr>
        <w:b/>
        <w:bCs/>
      </w:rPr>
      <w:t>02-6664650</w:t>
    </w:r>
    <w:r>
      <w:rPr>
        <w:b/>
        <w:bCs/>
        <w:rtl/>
      </w:rPr>
      <w:br/>
    </w:r>
    <w:hyperlink r:id="rId1" w:history="1">
      <w:r w:rsidRPr="00B710EA">
        <w:rPr>
          <w:rStyle w:val="Hyperlink"/>
          <w:rFonts w:cs="FrankRuehl"/>
          <w:b/>
          <w:bCs/>
        </w:rPr>
        <w:t>www.gov.il</w:t>
      </w:r>
    </w:hyperlink>
  </w:p>
  <w:p w:rsidR="001F6A84" w:rsidRDefault="00E051C3" w:rsidP="00C86023">
    <w:pPr>
      <w:pStyle w:val="Footer"/>
      <w:jc w:val="right"/>
    </w:pPr>
    <w:r>
      <w:fldChar w:fldCharType="begin"/>
    </w:r>
    <w:r>
      <w:instrText xml:space="preserve"> PAGE   \* MERGEFORMAT </w:instrText>
    </w:r>
    <w:r>
      <w:fldChar w:fldCharType="separate"/>
    </w:r>
    <w:r w:rsidR="00D570C7">
      <w:rPr>
        <w:noProof/>
        <w:rtl/>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51C3" w:rsidRDefault="00E051C3">
      <w:r>
        <w:separator/>
      </w:r>
    </w:p>
  </w:footnote>
  <w:footnote w:type="continuationSeparator" w:id="0">
    <w:p w:rsidR="00E051C3" w:rsidRDefault="00E051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A84" w:rsidRDefault="001F6A84" w:rsidP="00C86023">
    <w:pPr>
      <w:pStyle w:val="Footer"/>
      <w:tabs>
        <w:tab w:val="left" w:pos="1451"/>
      </w:tabs>
      <w:jc w:val="both"/>
      <w:rPr>
        <w:rtl/>
      </w:rPr>
    </w:pPr>
    <w:r>
      <w:rPr>
        <w:rtl/>
      </w:rPr>
      <w:tab/>
      <w:t xml:space="preserve">מדינת ישראל פרויקט ממשל זמין </w:t>
    </w:r>
    <w:hyperlink r:id="rId1" w:history="1">
      <w:r w:rsidRPr="00B710EA">
        <w:rPr>
          <w:rStyle w:val="Hyperlink"/>
          <w:rFonts w:cs="FrankRuehl"/>
        </w:rPr>
        <w:t>www.gov.il</w:t>
      </w:r>
    </w:hyperlink>
    <w:r>
      <w:t xml:space="preserve"> </w:t>
    </w:r>
    <w:r>
      <w:rPr>
        <w:rtl/>
      </w:rPr>
      <w:t xml:space="preserve">                                   </w:t>
    </w:r>
    <w:r w:rsidR="00CC7CDD">
      <w:rPr>
        <w:rFonts w:ascii="Arial" w:hAnsi="Arial" w:cs="Arial"/>
        <w:noProof/>
        <w:color w:val="1D5872"/>
        <w:sz w:val="20"/>
        <w:szCs w:val="20"/>
        <w:lang w:eastAsia="en-US"/>
      </w:rPr>
      <w:drawing>
        <wp:inline distT="0" distB="0" distL="0" distR="0">
          <wp:extent cx="514350" cy="257175"/>
          <wp:effectExtent l="19050" t="0" r="0" b="0"/>
          <wp:docPr id="2" name="Picture 1" descr="header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der_logo"/>
                  <pic:cNvPicPr>
                    <a:picLocks noChangeAspect="1" noChangeArrowheads="1"/>
                  </pic:cNvPicPr>
                </pic:nvPicPr>
                <pic:blipFill>
                  <a:blip r:embed="rId2"/>
                  <a:srcRect l="68169" r="10641"/>
                  <a:stretch>
                    <a:fillRect/>
                  </a:stretch>
                </pic:blipFill>
                <pic:spPr bwMode="auto">
                  <a:xfrm>
                    <a:off x="0" y="0"/>
                    <a:ext cx="514350" cy="257175"/>
                  </a:xfrm>
                  <a:prstGeom prst="rect">
                    <a:avLst/>
                  </a:prstGeom>
                  <a:noFill/>
                  <a:ln w="9525">
                    <a:noFill/>
                    <a:miter lim="800000"/>
                    <a:headEnd/>
                    <a:tailEnd/>
                  </a:ln>
                </pic:spPr>
              </pic:pic>
            </a:graphicData>
          </a:graphic>
        </wp:inline>
      </w:drawing>
    </w:r>
    <w:r>
      <w:rPr>
        <w:rtl/>
      </w:rPr>
      <w:tab/>
      <w:t xml:space="preserve"> </w:t>
    </w:r>
  </w:p>
  <w:p w:rsidR="001F6A84" w:rsidRDefault="001F6A84" w:rsidP="00C86023">
    <w:pPr>
      <w:pStyle w:val="Footer"/>
      <w:pBdr>
        <w:top w:val="single" w:sz="6" w:space="0" w:color="auto"/>
      </w:pBdr>
    </w:pPr>
  </w:p>
  <w:p w:rsidR="001F6A84" w:rsidRDefault="001F6A84" w:rsidP="00C86023">
    <w:pPr>
      <w:pStyle w:val="Footer"/>
      <w:jc w:val="right"/>
    </w:pPr>
  </w:p>
  <w:p w:rsidR="001F6A84" w:rsidRDefault="001F6A84" w:rsidP="00C86023">
    <w:pPr>
      <w:pStyle w:val="Header"/>
      <w:tabs>
        <w:tab w:val="clear" w:pos="8306"/>
        <w:tab w:val="right" w:pos="9582"/>
      </w:tabs>
      <w:jc w:val="right"/>
      <w:rPr>
        <w:rFonts w:ascii="David" w:hAnsi="David" w:cs="David"/>
        <w:b/>
        <w:color w:val="0000FF"/>
        <w:szCs w:val="20"/>
        <w:rtl/>
        <w:lang w:eastAsia="en-US"/>
      </w:rPr>
    </w:pPr>
    <w:r>
      <w:rPr>
        <w:rFonts w:ascii="David" w:hAnsi="David" w:cs="David"/>
        <w:b/>
        <w:color w:val="0000FF"/>
        <w:szCs w:val="20"/>
        <w:rtl/>
        <w:lang w:eastAsia="en-US"/>
      </w:rPr>
      <w:t xml:space="preserve">                        </w:t>
    </w:r>
    <w:r>
      <w:rPr>
        <w:rFonts w:ascii="David" w:hAnsi="David" w:cs="David"/>
        <w:b/>
        <w:color w:val="0000FF"/>
        <w:szCs w:val="20"/>
        <w:rtl/>
        <w:lang w:eastAsia="en-US"/>
      </w:rPr>
      <w:tab/>
    </w:r>
    <w:r>
      <w:rPr>
        <w:rFonts w:ascii="David" w:hAnsi="David" w:cs="David"/>
        <w:b/>
        <w:color w:val="0000FF"/>
        <w:szCs w:val="20"/>
        <w:rtl/>
        <w:lang w:eastAsia="en-US"/>
      </w:rPr>
      <w:tab/>
    </w:r>
  </w:p>
  <w:p w:rsidR="001F6A84" w:rsidRDefault="001F6A84">
    <w:pPr>
      <w:pStyle w:val="Header"/>
      <w:tabs>
        <w:tab w:val="center" w:pos="1274"/>
      </w:tabs>
      <w:ind w:left="-994"/>
      <w:rPr>
        <w:rtl/>
      </w:rPr>
    </w:pPr>
    <w:r>
      <w:rPr>
        <w:rFonts w:ascii="David" w:hAnsi="David" w:cs="David"/>
        <w:szCs w:val="20"/>
        <w:rtl/>
        <w:lang w:eastAsia="en-US"/>
      </w:rPr>
      <w:t xml:space="preserve">      </w:t>
    </w:r>
    <w:r>
      <w:rPr>
        <w:rtl/>
        <w:lang w:eastAsia="en-US"/>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A84" w:rsidRDefault="001F6A84" w:rsidP="00C86023">
    <w:pPr>
      <w:pStyle w:val="Header"/>
      <w:jc w:val="center"/>
      <w:rPr>
        <w:rFonts w:ascii="David" w:hAnsi="David" w:cs="David"/>
        <w:b/>
        <w:spacing w:val="60"/>
        <w:sz w:val="32"/>
        <w:szCs w:val="32"/>
        <w:rtl/>
        <w:lang w:eastAsia="en-US"/>
      </w:rPr>
    </w:pPr>
    <w:r>
      <w:rPr>
        <w:rFonts w:ascii="David" w:hAnsi="David" w:cs="David" w:hint="eastAsia"/>
        <w:b/>
        <w:spacing w:val="60"/>
        <w:sz w:val="32"/>
        <w:szCs w:val="32"/>
        <w:rtl/>
        <w:lang w:eastAsia="en-US"/>
      </w:rPr>
      <w:t>מדינת</w:t>
    </w:r>
    <w:r>
      <w:rPr>
        <w:rFonts w:ascii="David" w:hAnsi="David" w:cs="David"/>
        <w:b/>
        <w:spacing w:val="60"/>
        <w:sz w:val="32"/>
        <w:szCs w:val="32"/>
        <w:rtl/>
        <w:lang w:eastAsia="en-US"/>
      </w:rPr>
      <w:t xml:space="preserve"> </w:t>
    </w:r>
    <w:r>
      <w:rPr>
        <w:rFonts w:ascii="David" w:hAnsi="David" w:cs="David" w:hint="eastAsia"/>
        <w:b/>
        <w:spacing w:val="60"/>
        <w:sz w:val="32"/>
        <w:szCs w:val="32"/>
        <w:rtl/>
        <w:lang w:eastAsia="en-US"/>
      </w:rPr>
      <w:t>ישראל</w:t>
    </w:r>
  </w:p>
  <w:p w:rsidR="001F6A84" w:rsidRDefault="001F6A84" w:rsidP="00C86023">
    <w:pPr>
      <w:pStyle w:val="Header"/>
      <w:jc w:val="center"/>
      <w:rPr>
        <w:rFonts w:ascii="David" w:hAnsi="David" w:cs="David"/>
        <w:b/>
        <w:szCs w:val="20"/>
        <w:rtl/>
        <w:lang w:eastAsia="en-US"/>
      </w:rPr>
    </w:pPr>
    <w:r>
      <w:rPr>
        <w:rFonts w:ascii="David" w:hAnsi="David" w:cs="David" w:hint="eastAsia"/>
        <w:b/>
        <w:szCs w:val="20"/>
        <w:rtl/>
        <w:lang w:eastAsia="en-US"/>
      </w:rPr>
      <w:t>פרויקט</w:t>
    </w:r>
    <w:r>
      <w:rPr>
        <w:rFonts w:ascii="David" w:hAnsi="David" w:cs="David"/>
        <w:b/>
        <w:szCs w:val="20"/>
        <w:rtl/>
        <w:lang w:eastAsia="en-US"/>
      </w:rPr>
      <w:t xml:space="preserve"> </w:t>
    </w:r>
    <w:r>
      <w:rPr>
        <w:rFonts w:ascii="David" w:hAnsi="David" w:cs="David" w:hint="eastAsia"/>
        <w:b/>
        <w:szCs w:val="20"/>
        <w:rtl/>
        <w:lang w:eastAsia="en-US"/>
      </w:rPr>
      <w:t>ממשל</w:t>
    </w:r>
    <w:r>
      <w:rPr>
        <w:rFonts w:ascii="David" w:hAnsi="David" w:cs="David"/>
        <w:b/>
        <w:szCs w:val="20"/>
        <w:rtl/>
        <w:lang w:eastAsia="en-US"/>
      </w:rPr>
      <w:t xml:space="preserve"> </w:t>
    </w:r>
    <w:r>
      <w:rPr>
        <w:rFonts w:ascii="David" w:hAnsi="David" w:cs="David" w:hint="eastAsia"/>
        <w:b/>
        <w:szCs w:val="20"/>
        <w:rtl/>
        <w:lang w:eastAsia="en-US"/>
      </w:rPr>
      <w:t>זמין</w:t>
    </w:r>
  </w:p>
  <w:p w:rsidR="001F6A84" w:rsidRDefault="001F6A84" w:rsidP="00AA16CD">
    <w:pPr>
      <w:pStyle w:val="Header"/>
      <w:tabs>
        <w:tab w:val="clear" w:pos="8306"/>
        <w:tab w:val="right" w:pos="9582"/>
      </w:tabs>
      <w:jc w:val="right"/>
      <w:rPr>
        <w:rFonts w:ascii="David" w:hAnsi="David" w:cs="David"/>
        <w:b/>
        <w:color w:val="0000FF"/>
        <w:szCs w:val="20"/>
        <w:rtl/>
        <w:lang w:eastAsia="en-US"/>
      </w:rPr>
    </w:pPr>
    <w:r>
      <w:rPr>
        <w:rFonts w:ascii="David" w:hAnsi="David" w:cs="David"/>
        <w:b/>
        <w:color w:val="0000FF"/>
        <w:szCs w:val="20"/>
        <w:rtl/>
        <w:lang w:eastAsia="en-US"/>
      </w:rPr>
      <w:t xml:space="preserve">                        </w:t>
    </w:r>
    <w:r>
      <w:rPr>
        <w:rFonts w:ascii="David" w:hAnsi="David" w:cs="David"/>
        <w:b/>
        <w:color w:val="0000FF"/>
        <w:szCs w:val="20"/>
        <w:rtl/>
        <w:lang w:eastAsia="en-US"/>
      </w:rPr>
      <w:tab/>
    </w:r>
    <w:r w:rsidR="00CC7CDD">
      <w:rPr>
        <w:rFonts w:ascii="Arial" w:hAnsi="Arial" w:cs="Arial"/>
        <w:noProof/>
        <w:color w:val="1D5872"/>
        <w:sz w:val="20"/>
        <w:szCs w:val="20"/>
        <w:lang w:eastAsia="en-US"/>
      </w:rPr>
      <w:drawing>
        <wp:inline distT="0" distB="0" distL="0" distR="0">
          <wp:extent cx="1304925" cy="885825"/>
          <wp:effectExtent l="19050" t="0" r="9525" b="0"/>
          <wp:docPr id="3" name="Picture 4" descr="header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eader_logo"/>
                  <pic:cNvPicPr>
                    <a:picLocks noChangeAspect="1" noChangeArrowheads="1"/>
                  </pic:cNvPicPr>
                </pic:nvPicPr>
                <pic:blipFill>
                  <a:blip r:embed="rId1"/>
                  <a:srcRect l="68169" r="10641"/>
                  <a:stretch>
                    <a:fillRect/>
                  </a:stretch>
                </pic:blipFill>
                <pic:spPr bwMode="auto">
                  <a:xfrm>
                    <a:off x="0" y="0"/>
                    <a:ext cx="1304925" cy="885825"/>
                  </a:xfrm>
                  <a:prstGeom prst="rect">
                    <a:avLst/>
                  </a:prstGeom>
                  <a:noFill/>
                  <a:ln w="9525">
                    <a:noFill/>
                    <a:miter lim="800000"/>
                    <a:headEnd/>
                    <a:tailEnd/>
                  </a:ln>
                </pic:spPr>
              </pic:pic>
            </a:graphicData>
          </a:graphic>
        </wp:inline>
      </w:drawing>
    </w:r>
    <w:r>
      <w:rPr>
        <w:rFonts w:ascii="David" w:hAnsi="David" w:cs="David"/>
        <w:b/>
        <w:color w:val="0000FF"/>
        <w:szCs w:val="20"/>
        <w:rtl/>
        <w:lang w:eastAsia="en-US"/>
      </w:rPr>
      <w:tab/>
    </w:r>
  </w:p>
  <w:p w:rsidR="001F6A84" w:rsidRDefault="001F6A8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3in;height:3in" o:bullet="t">
        <v:imagedata r:id="rId1" o:title=""/>
      </v:shape>
    </w:pict>
  </w:numPicBullet>
  <w:abstractNum w:abstractNumId="0">
    <w:nsid w:val="05856B95"/>
    <w:multiLevelType w:val="hybridMultilevel"/>
    <w:tmpl w:val="26BC502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1E5C23"/>
    <w:multiLevelType w:val="hybridMultilevel"/>
    <w:tmpl w:val="3A10DA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ED0275"/>
    <w:multiLevelType w:val="hybridMultilevel"/>
    <w:tmpl w:val="06F2D32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203410A8"/>
    <w:multiLevelType w:val="hybridMultilevel"/>
    <w:tmpl w:val="616250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DBD6A45"/>
    <w:multiLevelType w:val="hybridMultilevel"/>
    <w:tmpl w:val="4AF657C8"/>
    <w:lvl w:ilvl="0" w:tplc="3904B8F6">
      <w:numFmt w:val="bullet"/>
      <w:lvlText w:val=""/>
      <w:lvlJc w:val="left"/>
      <w:pPr>
        <w:tabs>
          <w:tab w:val="num" w:pos="1065"/>
        </w:tabs>
        <w:ind w:left="1065" w:hanging="360"/>
      </w:pPr>
      <w:rPr>
        <w:rFonts w:ascii="Symbol" w:eastAsia="Times New Roman"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nsid w:val="352A47C4"/>
    <w:multiLevelType w:val="hybridMultilevel"/>
    <w:tmpl w:val="653ACE2A"/>
    <w:lvl w:ilvl="0" w:tplc="04090001">
      <w:start w:val="2"/>
      <w:numFmt w:val="bullet"/>
      <w:lvlText w:val=""/>
      <w:lvlJc w:val="left"/>
      <w:pPr>
        <w:tabs>
          <w:tab w:val="num" w:pos="720"/>
        </w:tabs>
        <w:ind w:left="720" w:hanging="360"/>
      </w:pPr>
      <w:rPr>
        <w:rFonts w:ascii="Symbol" w:eastAsia="Times New Roman"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45E9481B"/>
    <w:multiLevelType w:val="hybridMultilevel"/>
    <w:tmpl w:val="D92C05B6"/>
    <w:lvl w:ilvl="0" w:tplc="04090001">
      <w:start w:val="1"/>
      <w:numFmt w:val="bullet"/>
      <w:lvlText w:val=""/>
      <w:lvlJc w:val="left"/>
      <w:pPr>
        <w:tabs>
          <w:tab w:val="num" w:pos="1065"/>
        </w:tabs>
        <w:ind w:left="1065" w:hanging="360"/>
      </w:pPr>
      <w:rPr>
        <w:rFonts w:ascii="Symbol" w:hAnsi="Symbol" w:hint="default"/>
      </w:rPr>
    </w:lvl>
    <w:lvl w:ilvl="1" w:tplc="04090003" w:tentative="1">
      <w:start w:val="1"/>
      <w:numFmt w:val="bullet"/>
      <w:lvlText w:val="o"/>
      <w:lvlJc w:val="left"/>
      <w:pPr>
        <w:tabs>
          <w:tab w:val="num" w:pos="1785"/>
        </w:tabs>
        <w:ind w:left="1785" w:hanging="360"/>
      </w:pPr>
      <w:rPr>
        <w:rFonts w:ascii="Courier New" w:hAnsi="Courier New" w:hint="default"/>
      </w:rPr>
    </w:lvl>
    <w:lvl w:ilvl="2" w:tplc="04090005" w:tentative="1">
      <w:start w:val="1"/>
      <w:numFmt w:val="bullet"/>
      <w:lvlText w:val=""/>
      <w:lvlJc w:val="left"/>
      <w:pPr>
        <w:tabs>
          <w:tab w:val="num" w:pos="2505"/>
        </w:tabs>
        <w:ind w:left="2505" w:hanging="360"/>
      </w:pPr>
      <w:rPr>
        <w:rFonts w:ascii="Wingdings" w:hAnsi="Wingdings" w:hint="default"/>
      </w:rPr>
    </w:lvl>
    <w:lvl w:ilvl="3" w:tplc="04090001" w:tentative="1">
      <w:start w:val="1"/>
      <w:numFmt w:val="bullet"/>
      <w:lvlText w:val=""/>
      <w:lvlJc w:val="left"/>
      <w:pPr>
        <w:tabs>
          <w:tab w:val="num" w:pos="3225"/>
        </w:tabs>
        <w:ind w:left="3225" w:hanging="360"/>
      </w:pPr>
      <w:rPr>
        <w:rFonts w:ascii="Symbol" w:hAnsi="Symbol" w:hint="default"/>
      </w:rPr>
    </w:lvl>
    <w:lvl w:ilvl="4" w:tplc="04090003" w:tentative="1">
      <w:start w:val="1"/>
      <w:numFmt w:val="bullet"/>
      <w:lvlText w:val="o"/>
      <w:lvlJc w:val="left"/>
      <w:pPr>
        <w:tabs>
          <w:tab w:val="num" w:pos="3945"/>
        </w:tabs>
        <w:ind w:left="3945" w:hanging="360"/>
      </w:pPr>
      <w:rPr>
        <w:rFonts w:ascii="Courier New" w:hAnsi="Courier New" w:hint="default"/>
      </w:rPr>
    </w:lvl>
    <w:lvl w:ilvl="5" w:tplc="04090005" w:tentative="1">
      <w:start w:val="1"/>
      <w:numFmt w:val="bullet"/>
      <w:lvlText w:val=""/>
      <w:lvlJc w:val="left"/>
      <w:pPr>
        <w:tabs>
          <w:tab w:val="num" w:pos="4665"/>
        </w:tabs>
        <w:ind w:left="4665" w:hanging="360"/>
      </w:pPr>
      <w:rPr>
        <w:rFonts w:ascii="Wingdings" w:hAnsi="Wingdings" w:hint="default"/>
      </w:rPr>
    </w:lvl>
    <w:lvl w:ilvl="6" w:tplc="04090001" w:tentative="1">
      <w:start w:val="1"/>
      <w:numFmt w:val="bullet"/>
      <w:lvlText w:val=""/>
      <w:lvlJc w:val="left"/>
      <w:pPr>
        <w:tabs>
          <w:tab w:val="num" w:pos="5385"/>
        </w:tabs>
        <w:ind w:left="5385" w:hanging="360"/>
      </w:pPr>
      <w:rPr>
        <w:rFonts w:ascii="Symbol" w:hAnsi="Symbol" w:hint="default"/>
      </w:rPr>
    </w:lvl>
    <w:lvl w:ilvl="7" w:tplc="04090003" w:tentative="1">
      <w:start w:val="1"/>
      <w:numFmt w:val="bullet"/>
      <w:lvlText w:val="o"/>
      <w:lvlJc w:val="left"/>
      <w:pPr>
        <w:tabs>
          <w:tab w:val="num" w:pos="6105"/>
        </w:tabs>
        <w:ind w:left="6105" w:hanging="360"/>
      </w:pPr>
      <w:rPr>
        <w:rFonts w:ascii="Courier New" w:hAnsi="Courier New" w:hint="default"/>
      </w:rPr>
    </w:lvl>
    <w:lvl w:ilvl="8" w:tplc="04090005" w:tentative="1">
      <w:start w:val="1"/>
      <w:numFmt w:val="bullet"/>
      <w:lvlText w:val=""/>
      <w:lvlJc w:val="left"/>
      <w:pPr>
        <w:tabs>
          <w:tab w:val="num" w:pos="6825"/>
        </w:tabs>
        <w:ind w:left="6825" w:hanging="360"/>
      </w:pPr>
      <w:rPr>
        <w:rFonts w:ascii="Wingdings" w:hAnsi="Wingdings" w:hint="default"/>
      </w:rPr>
    </w:lvl>
  </w:abstractNum>
  <w:abstractNum w:abstractNumId="7">
    <w:nsid w:val="460E4CA4"/>
    <w:multiLevelType w:val="hybridMultilevel"/>
    <w:tmpl w:val="8F4840E4"/>
    <w:lvl w:ilvl="0" w:tplc="3904B8F6">
      <w:numFmt w:val="bullet"/>
      <w:lvlText w:val=""/>
      <w:lvlJc w:val="left"/>
      <w:pPr>
        <w:tabs>
          <w:tab w:val="num" w:pos="705"/>
        </w:tabs>
        <w:ind w:left="705" w:hanging="360"/>
      </w:pPr>
      <w:rPr>
        <w:rFonts w:ascii="Symbol" w:eastAsia="Times New Roman" w:hAnsi="Symbol" w:hint="default"/>
      </w:rPr>
    </w:lvl>
    <w:lvl w:ilvl="1" w:tplc="04090003" w:tentative="1">
      <w:start w:val="1"/>
      <w:numFmt w:val="bullet"/>
      <w:lvlText w:val="o"/>
      <w:lvlJc w:val="left"/>
      <w:pPr>
        <w:tabs>
          <w:tab w:val="num" w:pos="1425"/>
        </w:tabs>
        <w:ind w:left="1425" w:hanging="360"/>
      </w:pPr>
      <w:rPr>
        <w:rFonts w:ascii="Courier New" w:hAnsi="Courier New" w:hint="default"/>
      </w:rPr>
    </w:lvl>
    <w:lvl w:ilvl="2" w:tplc="04090005" w:tentative="1">
      <w:start w:val="1"/>
      <w:numFmt w:val="bullet"/>
      <w:lvlText w:val=""/>
      <w:lvlJc w:val="left"/>
      <w:pPr>
        <w:tabs>
          <w:tab w:val="num" w:pos="2145"/>
        </w:tabs>
        <w:ind w:left="2145" w:hanging="360"/>
      </w:pPr>
      <w:rPr>
        <w:rFonts w:ascii="Wingdings" w:hAnsi="Wingdings" w:hint="default"/>
      </w:rPr>
    </w:lvl>
    <w:lvl w:ilvl="3" w:tplc="04090001" w:tentative="1">
      <w:start w:val="1"/>
      <w:numFmt w:val="bullet"/>
      <w:lvlText w:val=""/>
      <w:lvlJc w:val="left"/>
      <w:pPr>
        <w:tabs>
          <w:tab w:val="num" w:pos="2865"/>
        </w:tabs>
        <w:ind w:left="2865" w:hanging="360"/>
      </w:pPr>
      <w:rPr>
        <w:rFonts w:ascii="Symbol" w:hAnsi="Symbol" w:hint="default"/>
      </w:rPr>
    </w:lvl>
    <w:lvl w:ilvl="4" w:tplc="04090003" w:tentative="1">
      <w:start w:val="1"/>
      <w:numFmt w:val="bullet"/>
      <w:lvlText w:val="o"/>
      <w:lvlJc w:val="left"/>
      <w:pPr>
        <w:tabs>
          <w:tab w:val="num" w:pos="3585"/>
        </w:tabs>
        <w:ind w:left="3585" w:hanging="360"/>
      </w:pPr>
      <w:rPr>
        <w:rFonts w:ascii="Courier New" w:hAnsi="Courier New" w:hint="default"/>
      </w:rPr>
    </w:lvl>
    <w:lvl w:ilvl="5" w:tplc="04090005" w:tentative="1">
      <w:start w:val="1"/>
      <w:numFmt w:val="bullet"/>
      <w:lvlText w:val=""/>
      <w:lvlJc w:val="left"/>
      <w:pPr>
        <w:tabs>
          <w:tab w:val="num" w:pos="4305"/>
        </w:tabs>
        <w:ind w:left="4305" w:hanging="360"/>
      </w:pPr>
      <w:rPr>
        <w:rFonts w:ascii="Wingdings" w:hAnsi="Wingdings" w:hint="default"/>
      </w:rPr>
    </w:lvl>
    <w:lvl w:ilvl="6" w:tplc="04090001" w:tentative="1">
      <w:start w:val="1"/>
      <w:numFmt w:val="bullet"/>
      <w:lvlText w:val=""/>
      <w:lvlJc w:val="left"/>
      <w:pPr>
        <w:tabs>
          <w:tab w:val="num" w:pos="5025"/>
        </w:tabs>
        <w:ind w:left="5025" w:hanging="360"/>
      </w:pPr>
      <w:rPr>
        <w:rFonts w:ascii="Symbol" w:hAnsi="Symbol" w:hint="default"/>
      </w:rPr>
    </w:lvl>
    <w:lvl w:ilvl="7" w:tplc="04090003" w:tentative="1">
      <w:start w:val="1"/>
      <w:numFmt w:val="bullet"/>
      <w:lvlText w:val="o"/>
      <w:lvlJc w:val="left"/>
      <w:pPr>
        <w:tabs>
          <w:tab w:val="num" w:pos="5745"/>
        </w:tabs>
        <w:ind w:left="5745" w:hanging="360"/>
      </w:pPr>
      <w:rPr>
        <w:rFonts w:ascii="Courier New" w:hAnsi="Courier New" w:hint="default"/>
      </w:rPr>
    </w:lvl>
    <w:lvl w:ilvl="8" w:tplc="04090005" w:tentative="1">
      <w:start w:val="1"/>
      <w:numFmt w:val="bullet"/>
      <w:lvlText w:val=""/>
      <w:lvlJc w:val="left"/>
      <w:pPr>
        <w:tabs>
          <w:tab w:val="num" w:pos="6465"/>
        </w:tabs>
        <w:ind w:left="6465" w:hanging="360"/>
      </w:pPr>
      <w:rPr>
        <w:rFonts w:ascii="Wingdings" w:hAnsi="Wingdings" w:hint="default"/>
      </w:rPr>
    </w:lvl>
  </w:abstractNum>
  <w:abstractNum w:abstractNumId="8">
    <w:nsid w:val="4E711BB1"/>
    <w:multiLevelType w:val="hybridMultilevel"/>
    <w:tmpl w:val="036211BC"/>
    <w:lvl w:ilvl="0" w:tplc="3904B8F6">
      <w:numFmt w:val="bullet"/>
      <w:lvlText w:val=""/>
      <w:lvlJc w:val="left"/>
      <w:pPr>
        <w:tabs>
          <w:tab w:val="num" w:pos="1005"/>
        </w:tabs>
        <w:ind w:left="1005" w:hanging="360"/>
      </w:pPr>
      <w:rPr>
        <w:rFonts w:ascii="Symbol" w:eastAsia="Times New Roman" w:hAnsi="Symbol" w:hint="default"/>
      </w:rPr>
    </w:lvl>
    <w:lvl w:ilvl="1" w:tplc="04090003" w:tentative="1">
      <w:start w:val="1"/>
      <w:numFmt w:val="bullet"/>
      <w:lvlText w:val="o"/>
      <w:lvlJc w:val="left"/>
      <w:pPr>
        <w:tabs>
          <w:tab w:val="num" w:pos="1740"/>
        </w:tabs>
        <w:ind w:left="1740" w:hanging="360"/>
      </w:pPr>
      <w:rPr>
        <w:rFonts w:ascii="Courier New" w:hAnsi="Courier New" w:hint="default"/>
      </w:rPr>
    </w:lvl>
    <w:lvl w:ilvl="2" w:tplc="04090005" w:tentative="1">
      <w:start w:val="1"/>
      <w:numFmt w:val="bullet"/>
      <w:lvlText w:val=""/>
      <w:lvlJc w:val="left"/>
      <w:pPr>
        <w:tabs>
          <w:tab w:val="num" w:pos="2460"/>
        </w:tabs>
        <w:ind w:left="2460" w:hanging="360"/>
      </w:pPr>
      <w:rPr>
        <w:rFonts w:ascii="Wingdings" w:hAnsi="Wingdings" w:hint="default"/>
      </w:rPr>
    </w:lvl>
    <w:lvl w:ilvl="3" w:tplc="04090001" w:tentative="1">
      <w:start w:val="1"/>
      <w:numFmt w:val="bullet"/>
      <w:lvlText w:val=""/>
      <w:lvlJc w:val="left"/>
      <w:pPr>
        <w:tabs>
          <w:tab w:val="num" w:pos="3180"/>
        </w:tabs>
        <w:ind w:left="3180" w:hanging="360"/>
      </w:pPr>
      <w:rPr>
        <w:rFonts w:ascii="Symbol" w:hAnsi="Symbol" w:hint="default"/>
      </w:rPr>
    </w:lvl>
    <w:lvl w:ilvl="4" w:tplc="04090003" w:tentative="1">
      <w:start w:val="1"/>
      <w:numFmt w:val="bullet"/>
      <w:lvlText w:val="o"/>
      <w:lvlJc w:val="left"/>
      <w:pPr>
        <w:tabs>
          <w:tab w:val="num" w:pos="3900"/>
        </w:tabs>
        <w:ind w:left="3900" w:hanging="360"/>
      </w:pPr>
      <w:rPr>
        <w:rFonts w:ascii="Courier New" w:hAnsi="Courier New" w:hint="default"/>
      </w:rPr>
    </w:lvl>
    <w:lvl w:ilvl="5" w:tplc="04090005" w:tentative="1">
      <w:start w:val="1"/>
      <w:numFmt w:val="bullet"/>
      <w:lvlText w:val=""/>
      <w:lvlJc w:val="left"/>
      <w:pPr>
        <w:tabs>
          <w:tab w:val="num" w:pos="4620"/>
        </w:tabs>
        <w:ind w:left="4620" w:hanging="360"/>
      </w:pPr>
      <w:rPr>
        <w:rFonts w:ascii="Wingdings" w:hAnsi="Wingdings" w:hint="default"/>
      </w:rPr>
    </w:lvl>
    <w:lvl w:ilvl="6" w:tplc="04090001" w:tentative="1">
      <w:start w:val="1"/>
      <w:numFmt w:val="bullet"/>
      <w:lvlText w:val=""/>
      <w:lvlJc w:val="left"/>
      <w:pPr>
        <w:tabs>
          <w:tab w:val="num" w:pos="5340"/>
        </w:tabs>
        <w:ind w:left="5340" w:hanging="360"/>
      </w:pPr>
      <w:rPr>
        <w:rFonts w:ascii="Symbol" w:hAnsi="Symbol" w:hint="default"/>
      </w:rPr>
    </w:lvl>
    <w:lvl w:ilvl="7" w:tplc="04090003" w:tentative="1">
      <w:start w:val="1"/>
      <w:numFmt w:val="bullet"/>
      <w:lvlText w:val="o"/>
      <w:lvlJc w:val="left"/>
      <w:pPr>
        <w:tabs>
          <w:tab w:val="num" w:pos="6060"/>
        </w:tabs>
        <w:ind w:left="6060" w:hanging="360"/>
      </w:pPr>
      <w:rPr>
        <w:rFonts w:ascii="Courier New" w:hAnsi="Courier New" w:hint="default"/>
      </w:rPr>
    </w:lvl>
    <w:lvl w:ilvl="8" w:tplc="04090005" w:tentative="1">
      <w:start w:val="1"/>
      <w:numFmt w:val="bullet"/>
      <w:lvlText w:val=""/>
      <w:lvlJc w:val="left"/>
      <w:pPr>
        <w:tabs>
          <w:tab w:val="num" w:pos="6780"/>
        </w:tabs>
        <w:ind w:left="6780" w:hanging="360"/>
      </w:pPr>
      <w:rPr>
        <w:rFonts w:ascii="Wingdings" w:hAnsi="Wingdings" w:hint="default"/>
      </w:rPr>
    </w:lvl>
  </w:abstractNum>
  <w:abstractNum w:abstractNumId="9">
    <w:nsid w:val="5D9E4AE1"/>
    <w:multiLevelType w:val="hybridMultilevel"/>
    <w:tmpl w:val="D7965740"/>
    <w:lvl w:ilvl="0" w:tplc="3904B8F6">
      <w:numFmt w:val="bullet"/>
      <w:lvlText w:val=""/>
      <w:lvlJc w:val="left"/>
      <w:pPr>
        <w:tabs>
          <w:tab w:val="num" w:pos="1065"/>
        </w:tabs>
        <w:ind w:left="1065" w:hanging="360"/>
      </w:pPr>
      <w:rPr>
        <w:rFonts w:ascii="Symbol" w:eastAsia="Times New Roman"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0">
    <w:nsid w:val="755B65E4"/>
    <w:multiLevelType w:val="hybridMultilevel"/>
    <w:tmpl w:val="74E87F94"/>
    <w:lvl w:ilvl="0" w:tplc="E266F8C6">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7C6268F"/>
    <w:multiLevelType w:val="hybridMultilevel"/>
    <w:tmpl w:val="FA7AC7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A0731EC"/>
    <w:multiLevelType w:val="hybridMultilevel"/>
    <w:tmpl w:val="B674F7E4"/>
    <w:lvl w:ilvl="0" w:tplc="404C0B82">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E7514DC"/>
    <w:multiLevelType w:val="hybridMultilevel"/>
    <w:tmpl w:val="0644E0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5"/>
  </w:num>
  <w:num w:numId="4">
    <w:abstractNumId w:val="6"/>
  </w:num>
  <w:num w:numId="5">
    <w:abstractNumId w:val="7"/>
  </w:num>
  <w:num w:numId="6">
    <w:abstractNumId w:val="8"/>
  </w:num>
  <w:num w:numId="7">
    <w:abstractNumId w:val="9"/>
  </w:num>
  <w:num w:numId="8">
    <w:abstractNumId w:val="4"/>
  </w:num>
  <w:num w:numId="9">
    <w:abstractNumId w:val="11"/>
  </w:num>
  <w:num w:numId="10">
    <w:abstractNumId w:val="3"/>
  </w:num>
  <w:num w:numId="11">
    <w:abstractNumId w:val="13"/>
  </w:num>
  <w:num w:numId="12">
    <w:abstractNumId w:val="1"/>
  </w:num>
  <w:num w:numId="13">
    <w:abstractNumId w:val="10"/>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9A7C9B"/>
    <w:rsid w:val="00027896"/>
    <w:rsid w:val="00032220"/>
    <w:rsid w:val="00035EAC"/>
    <w:rsid w:val="00041CB1"/>
    <w:rsid w:val="00047809"/>
    <w:rsid w:val="00067304"/>
    <w:rsid w:val="00075650"/>
    <w:rsid w:val="00090F53"/>
    <w:rsid w:val="000939DE"/>
    <w:rsid w:val="000974A7"/>
    <w:rsid w:val="000A0D50"/>
    <w:rsid w:val="000F0E09"/>
    <w:rsid w:val="001076EF"/>
    <w:rsid w:val="001122D3"/>
    <w:rsid w:val="001138E9"/>
    <w:rsid w:val="001312C3"/>
    <w:rsid w:val="00132EC5"/>
    <w:rsid w:val="001358C9"/>
    <w:rsid w:val="00153D5D"/>
    <w:rsid w:val="00156406"/>
    <w:rsid w:val="0016507B"/>
    <w:rsid w:val="001855D3"/>
    <w:rsid w:val="00197F9B"/>
    <w:rsid w:val="001A7137"/>
    <w:rsid w:val="001B11C4"/>
    <w:rsid w:val="001C6386"/>
    <w:rsid w:val="001C72C4"/>
    <w:rsid w:val="001D3206"/>
    <w:rsid w:val="001D420A"/>
    <w:rsid w:val="001E7E5E"/>
    <w:rsid w:val="001F6A84"/>
    <w:rsid w:val="00206D68"/>
    <w:rsid w:val="00221F14"/>
    <w:rsid w:val="002B787C"/>
    <w:rsid w:val="002D2232"/>
    <w:rsid w:val="0030726D"/>
    <w:rsid w:val="003148A1"/>
    <w:rsid w:val="003306F6"/>
    <w:rsid w:val="00347AE1"/>
    <w:rsid w:val="00374C29"/>
    <w:rsid w:val="00375C5C"/>
    <w:rsid w:val="00386DAE"/>
    <w:rsid w:val="00397367"/>
    <w:rsid w:val="003B3EA3"/>
    <w:rsid w:val="003B4D2D"/>
    <w:rsid w:val="003D5D59"/>
    <w:rsid w:val="003E0437"/>
    <w:rsid w:val="003F0687"/>
    <w:rsid w:val="003F7430"/>
    <w:rsid w:val="00406F25"/>
    <w:rsid w:val="004075A5"/>
    <w:rsid w:val="00436EDE"/>
    <w:rsid w:val="00443791"/>
    <w:rsid w:val="00456C4E"/>
    <w:rsid w:val="00467330"/>
    <w:rsid w:val="00484B19"/>
    <w:rsid w:val="00495186"/>
    <w:rsid w:val="004A2095"/>
    <w:rsid w:val="004A6B43"/>
    <w:rsid w:val="004B0D1F"/>
    <w:rsid w:val="004C0381"/>
    <w:rsid w:val="004C1550"/>
    <w:rsid w:val="004C29AE"/>
    <w:rsid w:val="004C7627"/>
    <w:rsid w:val="004D326C"/>
    <w:rsid w:val="004D6FD6"/>
    <w:rsid w:val="004E0B31"/>
    <w:rsid w:val="0050022A"/>
    <w:rsid w:val="00500387"/>
    <w:rsid w:val="00506A21"/>
    <w:rsid w:val="0050799A"/>
    <w:rsid w:val="00530910"/>
    <w:rsid w:val="0053235C"/>
    <w:rsid w:val="005403DB"/>
    <w:rsid w:val="00541E12"/>
    <w:rsid w:val="00557AB3"/>
    <w:rsid w:val="00563DAD"/>
    <w:rsid w:val="00597E72"/>
    <w:rsid w:val="005B282A"/>
    <w:rsid w:val="005E1923"/>
    <w:rsid w:val="005F4E12"/>
    <w:rsid w:val="006259E3"/>
    <w:rsid w:val="006316F4"/>
    <w:rsid w:val="0066724F"/>
    <w:rsid w:val="00675164"/>
    <w:rsid w:val="006B1A4C"/>
    <w:rsid w:val="006C1FAF"/>
    <w:rsid w:val="006D6A04"/>
    <w:rsid w:val="006E22A4"/>
    <w:rsid w:val="006E739F"/>
    <w:rsid w:val="006F7B8A"/>
    <w:rsid w:val="006F7C5C"/>
    <w:rsid w:val="00712C78"/>
    <w:rsid w:val="00715EE3"/>
    <w:rsid w:val="00727FA5"/>
    <w:rsid w:val="00737FA2"/>
    <w:rsid w:val="00743F14"/>
    <w:rsid w:val="007D3861"/>
    <w:rsid w:val="007D41DA"/>
    <w:rsid w:val="00803B29"/>
    <w:rsid w:val="00837840"/>
    <w:rsid w:val="00842153"/>
    <w:rsid w:val="008434A4"/>
    <w:rsid w:val="00856860"/>
    <w:rsid w:val="00856967"/>
    <w:rsid w:val="008634EC"/>
    <w:rsid w:val="00863B5D"/>
    <w:rsid w:val="00876153"/>
    <w:rsid w:val="00891A46"/>
    <w:rsid w:val="008A3180"/>
    <w:rsid w:val="008A411D"/>
    <w:rsid w:val="008B45FD"/>
    <w:rsid w:val="008D06BA"/>
    <w:rsid w:val="008E209F"/>
    <w:rsid w:val="00913518"/>
    <w:rsid w:val="009234DD"/>
    <w:rsid w:val="00935A48"/>
    <w:rsid w:val="00937EEF"/>
    <w:rsid w:val="00974092"/>
    <w:rsid w:val="009755E9"/>
    <w:rsid w:val="00975DA9"/>
    <w:rsid w:val="009812E4"/>
    <w:rsid w:val="00983B5D"/>
    <w:rsid w:val="0099102F"/>
    <w:rsid w:val="009A7C9B"/>
    <w:rsid w:val="009B25C4"/>
    <w:rsid w:val="009B34B9"/>
    <w:rsid w:val="009D719C"/>
    <w:rsid w:val="009D7FE7"/>
    <w:rsid w:val="009E6F64"/>
    <w:rsid w:val="009F10B9"/>
    <w:rsid w:val="00A015F9"/>
    <w:rsid w:val="00A31974"/>
    <w:rsid w:val="00A32323"/>
    <w:rsid w:val="00A453B9"/>
    <w:rsid w:val="00A459DB"/>
    <w:rsid w:val="00A45FCD"/>
    <w:rsid w:val="00A46486"/>
    <w:rsid w:val="00A701D0"/>
    <w:rsid w:val="00A82427"/>
    <w:rsid w:val="00A871FF"/>
    <w:rsid w:val="00A912FD"/>
    <w:rsid w:val="00A97BD2"/>
    <w:rsid w:val="00AA16CD"/>
    <w:rsid w:val="00AD1C98"/>
    <w:rsid w:val="00AF504A"/>
    <w:rsid w:val="00B22661"/>
    <w:rsid w:val="00B2461D"/>
    <w:rsid w:val="00B710EA"/>
    <w:rsid w:val="00B94CBB"/>
    <w:rsid w:val="00BC5364"/>
    <w:rsid w:val="00BD23D4"/>
    <w:rsid w:val="00BD73EC"/>
    <w:rsid w:val="00BF3727"/>
    <w:rsid w:val="00C0361F"/>
    <w:rsid w:val="00C03C15"/>
    <w:rsid w:val="00C122DC"/>
    <w:rsid w:val="00C36438"/>
    <w:rsid w:val="00C51DEE"/>
    <w:rsid w:val="00C70E6C"/>
    <w:rsid w:val="00C86023"/>
    <w:rsid w:val="00C93D85"/>
    <w:rsid w:val="00CA2C6C"/>
    <w:rsid w:val="00CB3F88"/>
    <w:rsid w:val="00CC041A"/>
    <w:rsid w:val="00CC7CDD"/>
    <w:rsid w:val="00CF0E58"/>
    <w:rsid w:val="00D30817"/>
    <w:rsid w:val="00D31FBD"/>
    <w:rsid w:val="00D408FD"/>
    <w:rsid w:val="00D41831"/>
    <w:rsid w:val="00D42021"/>
    <w:rsid w:val="00D520A5"/>
    <w:rsid w:val="00D55AC6"/>
    <w:rsid w:val="00D55BDF"/>
    <w:rsid w:val="00D570C7"/>
    <w:rsid w:val="00D634E6"/>
    <w:rsid w:val="00D8528B"/>
    <w:rsid w:val="00D86C5E"/>
    <w:rsid w:val="00DA00E4"/>
    <w:rsid w:val="00DB41E9"/>
    <w:rsid w:val="00DC66BF"/>
    <w:rsid w:val="00DD22BA"/>
    <w:rsid w:val="00DE3B50"/>
    <w:rsid w:val="00E051C3"/>
    <w:rsid w:val="00E1208A"/>
    <w:rsid w:val="00E146BA"/>
    <w:rsid w:val="00E31475"/>
    <w:rsid w:val="00E31D06"/>
    <w:rsid w:val="00E36132"/>
    <w:rsid w:val="00E41165"/>
    <w:rsid w:val="00E4601E"/>
    <w:rsid w:val="00E56E55"/>
    <w:rsid w:val="00E611C0"/>
    <w:rsid w:val="00E7286F"/>
    <w:rsid w:val="00E75F57"/>
    <w:rsid w:val="00E77CC3"/>
    <w:rsid w:val="00EA2875"/>
    <w:rsid w:val="00EA7139"/>
    <w:rsid w:val="00EA7422"/>
    <w:rsid w:val="00EB7571"/>
    <w:rsid w:val="00EC14C2"/>
    <w:rsid w:val="00ED7CDD"/>
    <w:rsid w:val="00F144D1"/>
    <w:rsid w:val="00F265A3"/>
    <w:rsid w:val="00F41E5C"/>
    <w:rsid w:val="00F5514A"/>
    <w:rsid w:val="00F55B8D"/>
    <w:rsid w:val="00F80258"/>
    <w:rsid w:val="00F84363"/>
    <w:rsid w:val="00F915D3"/>
    <w:rsid w:val="00FB4AA2"/>
    <w:rsid w:val="00FC3944"/>
    <w:rsid w:val="00FD41B8"/>
    <w:rsid w:val="00FE2659"/>
    <w:rsid w:val="00FE42E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7367"/>
    <w:pPr>
      <w:bidi/>
      <w:jc w:val="both"/>
    </w:pPr>
    <w:rPr>
      <w:rFonts w:cs="FrankRuehl"/>
      <w:sz w:val="24"/>
      <w:szCs w:val="26"/>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A2095"/>
    <w:pPr>
      <w:tabs>
        <w:tab w:val="center" w:pos="4153"/>
        <w:tab w:val="right" w:pos="8306"/>
      </w:tabs>
      <w:jc w:val="left"/>
    </w:pPr>
  </w:style>
  <w:style w:type="character" w:customStyle="1" w:styleId="HeaderChar">
    <w:name w:val="Header Char"/>
    <w:basedOn w:val="DefaultParagraphFont"/>
    <w:link w:val="Header"/>
    <w:uiPriority w:val="99"/>
    <w:locked/>
    <w:rsid w:val="00C86023"/>
    <w:rPr>
      <w:rFonts w:cs="FrankRuehl"/>
      <w:sz w:val="26"/>
      <w:szCs w:val="26"/>
      <w:lang w:eastAsia="he-IL" w:bidi="he-IL"/>
    </w:rPr>
  </w:style>
  <w:style w:type="paragraph" w:styleId="Footer">
    <w:name w:val="footer"/>
    <w:basedOn w:val="Normal"/>
    <w:link w:val="FooterChar"/>
    <w:uiPriority w:val="99"/>
    <w:rsid w:val="004A2095"/>
    <w:pPr>
      <w:tabs>
        <w:tab w:val="center" w:pos="4153"/>
        <w:tab w:val="right" w:pos="8306"/>
      </w:tabs>
      <w:jc w:val="left"/>
    </w:pPr>
  </w:style>
  <w:style w:type="character" w:customStyle="1" w:styleId="FooterChar">
    <w:name w:val="Footer Char"/>
    <w:basedOn w:val="DefaultParagraphFont"/>
    <w:link w:val="Footer"/>
    <w:uiPriority w:val="99"/>
    <w:locked/>
    <w:rsid w:val="00EA7139"/>
    <w:rPr>
      <w:rFonts w:cs="FrankRuehl"/>
      <w:sz w:val="26"/>
      <w:szCs w:val="26"/>
      <w:lang w:eastAsia="he-IL" w:bidi="he-IL"/>
    </w:rPr>
  </w:style>
  <w:style w:type="table" w:styleId="TableGrid">
    <w:name w:val="Table Grid"/>
    <w:basedOn w:val="TableNormal"/>
    <w:uiPriority w:val="99"/>
    <w:rsid w:val="00DB41E9"/>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BC5364"/>
    <w:rPr>
      <w:rFonts w:cs="Times New Roman"/>
      <w:color w:val="0000FF"/>
      <w:u w:val="single"/>
    </w:rPr>
  </w:style>
  <w:style w:type="paragraph" w:styleId="BalloonText">
    <w:name w:val="Balloon Text"/>
    <w:basedOn w:val="Normal"/>
    <w:link w:val="BalloonTextChar"/>
    <w:uiPriority w:val="99"/>
    <w:rsid w:val="00C86023"/>
    <w:rPr>
      <w:rFonts w:ascii="Tahoma" w:hAnsi="Tahoma" w:cs="Tahoma"/>
      <w:sz w:val="16"/>
      <w:szCs w:val="16"/>
    </w:rPr>
  </w:style>
  <w:style w:type="character" w:customStyle="1" w:styleId="BalloonTextChar">
    <w:name w:val="Balloon Text Char"/>
    <w:basedOn w:val="DefaultParagraphFont"/>
    <w:link w:val="BalloonText"/>
    <w:uiPriority w:val="99"/>
    <w:locked/>
    <w:rsid w:val="00C86023"/>
    <w:rPr>
      <w:rFonts w:ascii="Tahoma" w:hAnsi="Tahoma" w:cs="Tahoma"/>
      <w:sz w:val="16"/>
      <w:szCs w:val="16"/>
      <w:lang w:eastAsia="he-IL" w:bidi="he-IL"/>
    </w:rPr>
  </w:style>
  <w:style w:type="paragraph" w:styleId="ListParagraph">
    <w:name w:val="List Paragraph"/>
    <w:basedOn w:val="Normal"/>
    <w:uiPriority w:val="34"/>
    <w:qFormat/>
    <w:rsid w:val="00FD41B8"/>
    <w:pPr>
      <w:ind w:left="720"/>
      <w:contextualSpacing/>
    </w:pPr>
  </w:style>
  <w:style w:type="paragraph" w:styleId="PlainText">
    <w:name w:val="Plain Text"/>
    <w:basedOn w:val="Normal"/>
    <w:link w:val="PlainTextChar"/>
    <w:uiPriority w:val="99"/>
    <w:semiHidden/>
    <w:unhideWhenUsed/>
    <w:rsid w:val="00D570C7"/>
    <w:pPr>
      <w:jc w:val="left"/>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D570C7"/>
    <w:rPr>
      <w:rFonts w:ascii="Calibri" w:eastAsiaTheme="minorHAnsi" w:hAnsi="Calibri" w:cstheme="minorBid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808508">
      <w:bodyDiv w:val="1"/>
      <w:marLeft w:val="0"/>
      <w:marRight w:val="0"/>
      <w:marTop w:val="0"/>
      <w:marBottom w:val="0"/>
      <w:divBdr>
        <w:top w:val="none" w:sz="0" w:space="0" w:color="auto"/>
        <w:left w:val="none" w:sz="0" w:space="0" w:color="auto"/>
        <w:bottom w:val="none" w:sz="0" w:space="0" w:color="auto"/>
        <w:right w:val="none" w:sz="0" w:space="0" w:color="auto"/>
      </w:divBdr>
    </w:div>
    <w:div w:id="616839364">
      <w:marLeft w:val="0"/>
      <w:marRight w:val="0"/>
      <w:marTop w:val="0"/>
      <w:marBottom w:val="0"/>
      <w:divBdr>
        <w:top w:val="none" w:sz="0" w:space="0" w:color="auto"/>
        <w:left w:val="none" w:sz="0" w:space="0" w:color="auto"/>
        <w:bottom w:val="none" w:sz="0" w:space="0" w:color="auto"/>
        <w:right w:val="none" w:sz="0" w:space="0" w:color="auto"/>
      </w:divBdr>
      <w:divsChild>
        <w:div w:id="616839360">
          <w:marLeft w:val="0"/>
          <w:marRight w:val="0"/>
          <w:marTop w:val="0"/>
          <w:marBottom w:val="0"/>
          <w:divBdr>
            <w:top w:val="none" w:sz="0" w:space="0" w:color="auto"/>
            <w:left w:val="none" w:sz="0" w:space="0" w:color="auto"/>
            <w:bottom w:val="none" w:sz="0" w:space="0" w:color="auto"/>
            <w:right w:val="none" w:sz="0" w:space="0" w:color="auto"/>
          </w:divBdr>
          <w:divsChild>
            <w:div w:id="616839363">
              <w:marLeft w:val="0"/>
              <w:marRight w:val="-2928"/>
              <w:marTop w:val="0"/>
              <w:marBottom w:val="0"/>
              <w:divBdr>
                <w:top w:val="none" w:sz="0" w:space="0" w:color="auto"/>
                <w:left w:val="none" w:sz="0" w:space="0" w:color="auto"/>
                <w:bottom w:val="none" w:sz="0" w:space="0" w:color="auto"/>
                <w:right w:val="none" w:sz="0" w:space="0" w:color="auto"/>
              </w:divBdr>
              <w:divsChild>
                <w:div w:id="616839361">
                  <w:marLeft w:val="0"/>
                  <w:marRight w:val="2928"/>
                  <w:marTop w:val="720"/>
                  <w:marBottom w:val="0"/>
                  <w:divBdr>
                    <w:top w:val="single" w:sz="6" w:space="0" w:color="AAAAAA"/>
                    <w:left w:val="none" w:sz="0" w:space="0" w:color="auto"/>
                    <w:bottom w:val="single" w:sz="6" w:space="0" w:color="AAAAAA"/>
                    <w:right w:val="single" w:sz="6" w:space="0" w:color="AAAAAA"/>
                  </w:divBdr>
                  <w:divsChild>
                    <w:div w:id="616839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683936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inhas\Documents\%3f%3f%3f%3f%3f%3f%3f%3f.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????????.dotx</Template>
  <TotalTime>256</TotalTime>
  <Pages>1</Pages>
  <Words>215</Words>
  <Characters>1079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20</vt:lpstr>
    </vt:vector>
  </TitlesOfParts>
  <Company>MOF</Company>
  <LinksUpToDate>false</LinksUpToDate>
  <CharactersWithSpaces>1292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dc:title>
  <dc:creator>pinhas</dc:creator>
  <cp:lastModifiedBy>Nir Eckstein</cp:lastModifiedBy>
  <cp:revision>6</cp:revision>
  <cp:lastPrinted>2009-09-07T13:42:00Z</cp:lastPrinted>
  <dcterms:created xsi:type="dcterms:W3CDTF">2011-05-25T12:22:00Z</dcterms:created>
  <dcterms:modified xsi:type="dcterms:W3CDTF">2011-06-29T07:18:00Z</dcterms:modified>
</cp:coreProperties>
</file>